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4CC" w:rsidRPr="003344CC" w:rsidRDefault="004216F6" w:rsidP="003344CC">
      <w:pPr>
        <w:pStyle w:val="CUPSectionhead"/>
      </w:pPr>
      <w:r>
        <w:t xml:space="preserve">Scheme of </w:t>
      </w:r>
      <w:r w:rsidR="00C70CE3">
        <w:t>work</w:t>
      </w:r>
    </w:p>
    <w:p w:rsidR="004216F6" w:rsidRPr="003344CC" w:rsidRDefault="004216F6" w:rsidP="003344CC">
      <w:pPr>
        <w:pStyle w:val="CUPAhead"/>
      </w:pPr>
      <w:r w:rsidRPr="00F45061">
        <w:t xml:space="preserve">Unit </w:t>
      </w:r>
      <w:r w:rsidR="00B52076">
        <w:t>1.2</w:t>
      </w:r>
      <w:r w:rsidR="003344CC" w:rsidRPr="003344CC">
        <w:t>:</w:t>
      </w:r>
      <w:r w:rsidR="00B52076">
        <w:t xml:space="preserve"> Advertisements</w:t>
      </w:r>
    </w:p>
    <w:p w:rsidR="00E14086" w:rsidRPr="003344CC" w:rsidRDefault="00E14086" w:rsidP="00E14086">
      <w:pPr>
        <w:pStyle w:val="CUPChead"/>
        <w:spacing w:before="120"/>
      </w:pPr>
      <w:r>
        <w:t>Overview</w:t>
      </w:r>
    </w:p>
    <w:p w:rsidR="003344CC" w:rsidRPr="009758CA" w:rsidRDefault="003344CC" w:rsidP="003344CC">
      <w:pPr>
        <w:pStyle w:val="CUPBodytext"/>
        <w:rPr>
          <w:b/>
          <w:sz w:val="16"/>
        </w:rPr>
      </w:pPr>
      <w:r>
        <w:t>Unit 1.2 focuses on print advertisements and the various ways they aim to persuade.</w:t>
      </w:r>
      <w:r>
        <w:br/>
      </w: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4698"/>
        <w:gridCol w:w="5580"/>
      </w:tblGrid>
      <w:tr w:rsidR="00A5448F" w:rsidRPr="008B1B7C" w:rsidTr="009758CA">
        <w:trPr>
          <w:cantSplit/>
          <w:trHeight w:val="2008"/>
        </w:trPr>
        <w:tc>
          <w:tcPr>
            <w:tcW w:w="4698" w:type="dxa"/>
          </w:tcPr>
          <w:p w:rsidR="00A5448F" w:rsidRPr="003344CC" w:rsidRDefault="00A5448F" w:rsidP="003344CC">
            <w:pPr>
              <w:pStyle w:val="CUPChead"/>
              <w:spacing w:before="120"/>
            </w:pPr>
            <w:r w:rsidRPr="003344CC">
              <w:t xml:space="preserve">Learning </w:t>
            </w:r>
            <w:r w:rsidR="009758CA" w:rsidRPr="009758CA">
              <w:t>objectives</w:t>
            </w:r>
          </w:p>
          <w:p w:rsidR="000674F2" w:rsidRDefault="000E7EB2" w:rsidP="000E7EB2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rPr>
                <w:rFonts w:ascii="Symbol" w:hAnsi="Symbol"/>
              </w:rPr>
              <w:t></w:t>
            </w:r>
            <w:r w:rsidRPr="000E7EB2">
              <w:tab/>
            </w:r>
            <w:r w:rsidR="000674F2">
              <w:t>Become familiar with a range of different types of advertisements</w:t>
            </w:r>
            <w:r w:rsidR="007516F1">
              <w:t>.</w:t>
            </w:r>
          </w:p>
          <w:p w:rsidR="000674F2" w:rsidRDefault="000E7EB2" w:rsidP="000E7EB2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rPr>
                <w:rFonts w:ascii="Symbol" w:hAnsi="Symbol"/>
              </w:rPr>
              <w:t></w:t>
            </w:r>
            <w:r w:rsidRPr="000E7EB2">
              <w:tab/>
            </w:r>
            <w:r w:rsidR="000674F2">
              <w:t>Be able to define the key features of print advertisements</w:t>
            </w:r>
            <w:r w:rsidR="007516F1">
              <w:t>.</w:t>
            </w:r>
          </w:p>
          <w:p w:rsidR="00A5448F" w:rsidRPr="00B52076" w:rsidRDefault="000E7EB2" w:rsidP="000E7EB2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B52076">
              <w:rPr>
                <w:rFonts w:ascii="Symbol" w:hAnsi="Symbol"/>
              </w:rPr>
              <w:t></w:t>
            </w:r>
            <w:r w:rsidRPr="000E7EB2">
              <w:tab/>
            </w:r>
            <w:r w:rsidR="000674F2" w:rsidRPr="00685AE3">
              <w:rPr>
                <w:spacing w:val="-2"/>
              </w:rPr>
              <w:t>Understand the effects of various advertising techniques.</w:t>
            </w:r>
          </w:p>
        </w:tc>
        <w:tc>
          <w:tcPr>
            <w:tcW w:w="5580" w:type="dxa"/>
          </w:tcPr>
          <w:p w:rsidR="00A5448F" w:rsidRPr="008B1B7C" w:rsidRDefault="009758CA" w:rsidP="003344CC">
            <w:pPr>
              <w:pStyle w:val="CUPChead"/>
              <w:spacing w:before="120"/>
            </w:pPr>
            <w:r>
              <w:t>AOE</w:t>
            </w:r>
            <w:r w:rsidR="00A5448F" w:rsidRPr="003344CC">
              <w:t xml:space="preserve"> </w:t>
            </w:r>
            <w:r w:rsidR="004E5BAB" w:rsidRPr="003344CC">
              <w:t>q</w:t>
            </w:r>
            <w:r w:rsidR="00A5448F" w:rsidRPr="003344CC">
              <w:t>uestions</w:t>
            </w:r>
          </w:p>
          <w:p w:rsidR="00A5448F" w:rsidRDefault="000E7EB2" w:rsidP="000E7EB2">
            <w:pPr>
              <w:pStyle w:val="CUPBullets"/>
              <w:numPr>
                <w:ilvl w:val="0"/>
                <w:numId w:val="0"/>
              </w:numPr>
              <w:ind w:left="360" w:hanging="360"/>
            </w:pPr>
            <w:r>
              <w:rPr>
                <w:rFonts w:ascii="Symbol" w:hAnsi="Symbol"/>
              </w:rPr>
              <w:t></w:t>
            </w:r>
            <w:r w:rsidRPr="000E7EB2">
              <w:tab/>
            </w:r>
            <w:r w:rsidR="009758CA" w:rsidRPr="009758CA">
              <w:t>How do texts follow or move away from the conventions associated with different types of text</w:t>
            </w:r>
            <w:r w:rsidR="00731385">
              <w:t>?</w:t>
            </w:r>
          </w:p>
          <w:p w:rsidR="00731385" w:rsidRPr="008B1B7C" w:rsidRDefault="000E7EB2" w:rsidP="000E7EB2">
            <w:pPr>
              <w:pStyle w:val="CUPBullets"/>
              <w:numPr>
                <w:ilvl w:val="0"/>
                <w:numId w:val="0"/>
              </w:numPr>
              <w:ind w:left="360" w:hanging="360"/>
            </w:pPr>
            <w:r w:rsidRPr="008B1B7C">
              <w:rPr>
                <w:rFonts w:ascii="Symbol" w:hAnsi="Symbol"/>
              </w:rPr>
              <w:t></w:t>
            </w:r>
            <w:r w:rsidRPr="000E7EB2">
              <w:tab/>
            </w:r>
            <w:r w:rsidR="009758CA" w:rsidRPr="009758CA">
              <w:t>How do the style and structure of a text affect its meaning?</w:t>
            </w:r>
          </w:p>
        </w:tc>
      </w:tr>
      <w:tr w:rsidR="000674F2" w:rsidRPr="008B1B7C" w:rsidTr="009758CA">
        <w:trPr>
          <w:cantSplit/>
          <w:trHeight w:val="1603"/>
        </w:trPr>
        <w:tc>
          <w:tcPr>
            <w:tcW w:w="4698" w:type="dxa"/>
          </w:tcPr>
          <w:p w:rsidR="000674F2" w:rsidRPr="003344CC" w:rsidRDefault="009758CA" w:rsidP="003344CC">
            <w:pPr>
              <w:pStyle w:val="CUPChead"/>
              <w:spacing w:before="120"/>
            </w:pPr>
            <w:r>
              <w:t>C</w:t>
            </w:r>
            <w:r w:rsidR="000337D2" w:rsidRPr="003344CC">
              <w:t xml:space="preserve">oncepts </w:t>
            </w:r>
          </w:p>
          <w:p w:rsidR="000674F2" w:rsidRDefault="000674F2" w:rsidP="003344CC">
            <w:pPr>
              <w:pStyle w:val="CUPBodytext"/>
            </w:pPr>
            <w:r>
              <w:rPr>
                <w:b/>
              </w:rPr>
              <w:t xml:space="preserve">Creativity </w:t>
            </w:r>
            <w:r w:rsidR="00B33C52" w:rsidRPr="00B33C52">
              <w:t>–</w:t>
            </w:r>
            <w:r>
              <w:rPr>
                <w:b/>
              </w:rPr>
              <w:t xml:space="preserve"> </w:t>
            </w:r>
            <w:r w:rsidRPr="00F45BD2">
              <w:t>Adverts are creative works. How are they creatively constructed to persuade?</w:t>
            </w:r>
          </w:p>
          <w:p w:rsidR="000674F2" w:rsidRDefault="000674F2" w:rsidP="003344CC">
            <w:pPr>
              <w:pStyle w:val="CUPBodytext"/>
            </w:pPr>
            <w:r w:rsidRPr="009A2C94">
              <w:rPr>
                <w:b/>
              </w:rPr>
              <w:t>Representation</w:t>
            </w:r>
            <w:r>
              <w:t xml:space="preserve"> – What role do adverts play in constructing stereotypes?</w:t>
            </w:r>
          </w:p>
        </w:tc>
        <w:tc>
          <w:tcPr>
            <w:tcW w:w="5580" w:type="dxa"/>
          </w:tcPr>
          <w:p w:rsidR="000674F2" w:rsidRPr="003344CC" w:rsidRDefault="000674F2" w:rsidP="003344CC">
            <w:pPr>
              <w:pStyle w:val="CUPChead"/>
              <w:spacing w:before="120"/>
            </w:pPr>
            <w:r w:rsidRPr="003344CC">
              <w:t>Learner profile</w:t>
            </w:r>
          </w:p>
          <w:p w:rsidR="000674F2" w:rsidRPr="008B1B7C" w:rsidRDefault="000674F2" w:rsidP="003344CC">
            <w:pPr>
              <w:pStyle w:val="CUPBodytext"/>
            </w:pPr>
            <w:r w:rsidRPr="005427EE">
              <w:rPr>
                <w:b/>
              </w:rPr>
              <w:t>Principled</w:t>
            </w:r>
            <w:r>
              <w:t xml:space="preserve"> – What do we believe in? How do adverts appeal to these principles or beliefs?</w:t>
            </w:r>
          </w:p>
        </w:tc>
      </w:tr>
      <w:tr w:rsidR="00A5448F" w:rsidRPr="008B1B7C" w:rsidTr="009758CA">
        <w:trPr>
          <w:cantSplit/>
        </w:trPr>
        <w:tc>
          <w:tcPr>
            <w:tcW w:w="10278" w:type="dxa"/>
            <w:gridSpan w:val="2"/>
          </w:tcPr>
          <w:p w:rsidR="00A5448F" w:rsidRPr="003344CC" w:rsidRDefault="00A5448F" w:rsidP="001C1648">
            <w:pPr>
              <w:pStyle w:val="CUPChead"/>
              <w:spacing w:before="80" w:after="80"/>
            </w:pPr>
            <w:r w:rsidRPr="003344CC">
              <w:t xml:space="preserve">Learner </w:t>
            </w:r>
            <w:r w:rsidR="000674F2" w:rsidRPr="003344CC">
              <w:t>p</w:t>
            </w:r>
            <w:r w:rsidR="00407ABB">
              <w:t>ortfolio</w:t>
            </w:r>
          </w:p>
          <w:p w:rsidR="00AA29A3" w:rsidRDefault="00AA29A3" w:rsidP="003344CC">
            <w:pPr>
              <w:pStyle w:val="CUPBodytext"/>
              <w:rPr>
                <w:b/>
              </w:rPr>
            </w:pPr>
            <w:r>
              <w:t>Students find examples of advertisements that appeal to their own principles and beliefs, and consider how these connect to a global issue being explor</w:t>
            </w:r>
            <w:r w:rsidR="00E769D1">
              <w:t>ed</w:t>
            </w:r>
            <w:r>
              <w:t>.</w:t>
            </w:r>
          </w:p>
          <w:p w:rsidR="00A5448F" w:rsidRDefault="009758CA" w:rsidP="003344CC">
            <w:pPr>
              <w:pStyle w:val="CUPBodytext"/>
            </w:pPr>
            <w:r>
              <w:t xml:space="preserve">Activity </w:t>
            </w:r>
            <w:r w:rsidR="00F45BD2">
              <w:t xml:space="preserve">2.2 Students </w:t>
            </w:r>
            <w:r w:rsidR="0013118B">
              <w:t xml:space="preserve">match definitions to advertisements through an online </w:t>
            </w:r>
            <w:r w:rsidR="0004577F">
              <w:t>i</w:t>
            </w:r>
            <w:r w:rsidR="0013118B">
              <w:t xml:space="preserve">nternet search. </w:t>
            </w:r>
          </w:p>
          <w:p w:rsidR="006B726D" w:rsidRDefault="009758CA" w:rsidP="003344CC">
            <w:pPr>
              <w:pStyle w:val="CUPBodytext"/>
            </w:pPr>
            <w:r>
              <w:t xml:space="preserve">Activities </w:t>
            </w:r>
            <w:r w:rsidR="00BF6ECB">
              <w:t xml:space="preserve">2.3 </w:t>
            </w:r>
            <w:r>
              <w:t>and</w:t>
            </w:r>
            <w:r w:rsidR="00BF6ECB">
              <w:t xml:space="preserve"> 2.4 Students investigate the key features/techniques of advertising and try to find commonalities.</w:t>
            </w:r>
          </w:p>
          <w:p w:rsidR="00BF6ECB" w:rsidRPr="008B1B7C" w:rsidRDefault="009758CA" w:rsidP="003344CC">
            <w:pPr>
              <w:pStyle w:val="CUPBodytext"/>
            </w:pPr>
            <w:r>
              <w:t xml:space="preserve">Activity </w:t>
            </w:r>
            <w:r w:rsidR="00BF6ECB">
              <w:t>2.5 Students design their own print advertisement</w:t>
            </w:r>
            <w:r w:rsidR="00377D79">
              <w:t xml:space="preserve"> (possibly connecting this to a global issue of interest).</w:t>
            </w:r>
          </w:p>
        </w:tc>
      </w:tr>
      <w:tr w:rsidR="00EF70F0" w:rsidRPr="008B1B7C" w:rsidTr="009758CA">
        <w:trPr>
          <w:cantSplit/>
        </w:trPr>
        <w:tc>
          <w:tcPr>
            <w:tcW w:w="4698" w:type="dxa"/>
          </w:tcPr>
          <w:p w:rsidR="00EF70F0" w:rsidRDefault="00EF70F0" w:rsidP="001C1648">
            <w:pPr>
              <w:pStyle w:val="CUPChead"/>
              <w:spacing w:before="80" w:after="80"/>
            </w:pPr>
            <w:r w:rsidRPr="003344CC">
              <w:t>TOK</w:t>
            </w:r>
          </w:p>
          <w:p w:rsidR="00EF70F0" w:rsidRPr="001F281F" w:rsidRDefault="00EF70F0" w:rsidP="00071762">
            <w:pPr>
              <w:pStyle w:val="CUPBodytext"/>
            </w:pPr>
            <w:r>
              <w:t>How do we know if advertisers are telling the truth? How do they use reason and language to persuade us to buy something?</w:t>
            </w:r>
          </w:p>
        </w:tc>
        <w:tc>
          <w:tcPr>
            <w:tcW w:w="5580" w:type="dxa"/>
          </w:tcPr>
          <w:p w:rsidR="00EF70F0" w:rsidRPr="003344CC" w:rsidRDefault="00EF70F0" w:rsidP="001C1648">
            <w:pPr>
              <w:pStyle w:val="CUPChead"/>
              <w:spacing w:before="80" w:after="80"/>
            </w:pPr>
            <w:r w:rsidRPr="003344CC">
              <w:t xml:space="preserve">Extended </w:t>
            </w:r>
            <w:r w:rsidR="00E769D1" w:rsidRPr="003344CC">
              <w:t xml:space="preserve">essay </w:t>
            </w:r>
          </w:p>
          <w:p w:rsidR="00EF70F0" w:rsidRPr="009758CA" w:rsidRDefault="00EF70F0" w:rsidP="003344CC">
            <w:pPr>
              <w:pStyle w:val="CUPBodytext"/>
              <w:rPr>
                <w:b/>
              </w:rPr>
            </w:pPr>
            <w:r w:rsidRPr="009758CA">
              <w:t xml:space="preserve">A research question on advertisements is possible under the requirements for a category 3 essay. Students should focus on several advertisements from a single campaign to analyse in detail. </w:t>
            </w:r>
          </w:p>
        </w:tc>
      </w:tr>
      <w:tr w:rsidR="00EF70F0" w:rsidRPr="008B1B7C" w:rsidTr="009758CA">
        <w:trPr>
          <w:cantSplit/>
          <w:trHeight w:val="2413"/>
        </w:trPr>
        <w:tc>
          <w:tcPr>
            <w:tcW w:w="4698" w:type="dxa"/>
          </w:tcPr>
          <w:p w:rsidR="00EF70F0" w:rsidRPr="003344CC" w:rsidRDefault="00EF70F0" w:rsidP="001C1648">
            <w:pPr>
              <w:pStyle w:val="CUPChead"/>
              <w:spacing w:before="80" w:after="80"/>
            </w:pPr>
            <w:r w:rsidRPr="003344CC">
              <w:t xml:space="preserve">Texts – </w:t>
            </w:r>
            <w:r w:rsidR="009F03D4">
              <w:t>p</w:t>
            </w:r>
            <w:r w:rsidRPr="003344CC">
              <w:t>rint</w:t>
            </w:r>
          </w:p>
          <w:p w:rsidR="00EF70F0" w:rsidRDefault="00EF70F0" w:rsidP="003344CC">
            <w:pPr>
              <w:pStyle w:val="CUPBodytext"/>
            </w:pPr>
            <w:r>
              <w:t>Text 1.14 – Should Australia ban plastic bags?</w:t>
            </w:r>
          </w:p>
          <w:p w:rsidR="00EF70F0" w:rsidRDefault="00EF70F0" w:rsidP="003344CC">
            <w:pPr>
              <w:pStyle w:val="CUPBodytext"/>
            </w:pPr>
            <w:r>
              <w:t>Text 1.15 – Green is more than a color. It is a philosophy</w:t>
            </w:r>
            <w:r w:rsidR="001C1648">
              <w:t xml:space="preserve"> (Benetton)</w:t>
            </w:r>
            <w:r w:rsidR="00887715">
              <w:t>.</w:t>
            </w:r>
          </w:p>
          <w:p w:rsidR="00EF70F0" w:rsidRDefault="00EF70F0" w:rsidP="003344CC">
            <w:pPr>
              <w:pStyle w:val="CUPBodytext"/>
            </w:pPr>
            <w:r>
              <w:t>Text 1.16 – Air pollution kills 60,00 people a year</w:t>
            </w:r>
          </w:p>
          <w:p w:rsidR="00EF70F0" w:rsidRDefault="00EF70F0" w:rsidP="003344CC">
            <w:pPr>
              <w:pStyle w:val="CUPBodytext"/>
            </w:pPr>
            <w:r>
              <w:t>Text 1.17 – I want to be a bike. Recycle me</w:t>
            </w:r>
          </w:p>
          <w:p w:rsidR="00EF70F0" w:rsidRPr="00BD56B5" w:rsidRDefault="00EF70F0" w:rsidP="00887715">
            <w:pPr>
              <w:pStyle w:val="CUPBodytext"/>
            </w:pPr>
            <w:r>
              <w:t>Text 1.18 – Go from place to place. Without going from pump to pump</w:t>
            </w:r>
            <w:r w:rsidR="009F03D4">
              <w:t>!</w:t>
            </w:r>
            <w:r w:rsidR="001C1648">
              <w:t xml:space="preserve"> (Tata Motors)</w:t>
            </w:r>
            <w:bookmarkStart w:id="0" w:name="_GoBack"/>
            <w:bookmarkEnd w:id="0"/>
          </w:p>
        </w:tc>
        <w:tc>
          <w:tcPr>
            <w:tcW w:w="5580" w:type="dxa"/>
          </w:tcPr>
          <w:p w:rsidR="00EF70F0" w:rsidRPr="003344CC" w:rsidRDefault="00EF70F0" w:rsidP="001C1648">
            <w:pPr>
              <w:pStyle w:val="CUPChead"/>
              <w:spacing w:before="80" w:after="80"/>
            </w:pPr>
            <w:r w:rsidRPr="003344CC">
              <w:t xml:space="preserve">Suggested </w:t>
            </w:r>
            <w:r w:rsidR="000337D2" w:rsidRPr="003344CC">
              <w:t xml:space="preserve">additional resources </w:t>
            </w:r>
          </w:p>
          <w:p w:rsidR="00EF70F0" w:rsidRDefault="00EF70F0" w:rsidP="003344CC">
            <w:pPr>
              <w:pStyle w:val="CUPBodytext"/>
            </w:pPr>
            <w:r w:rsidRPr="003344CC">
              <w:rPr>
                <w:rStyle w:val="Emphasis"/>
              </w:rPr>
              <w:t xml:space="preserve">Ogilvy on Advertising </w:t>
            </w:r>
            <w:r>
              <w:t xml:space="preserve">and </w:t>
            </w:r>
            <w:r w:rsidRPr="003344CC">
              <w:rPr>
                <w:rStyle w:val="Emphasis"/>
              </w:rPr>
              <w:t xml:space="preserve">Confessions of an Advertising Man </w:t>
            </w:r>
            <w:r>
              <w:t>by David Ogilvy</w:t>
            </w:r>
          </w:p>
          <w:p w:rsidR="00EF70F0" w:rsidRDefault="00EF70F0" w:rsidP="003344CC">
            <w:pPr>
              <w:pStyle w:val="CUPBodytext"/>
            </w:pPr>
            <w:r w:rsidRPr="003344CC">
              <w:rPr>
                <w:rStyle w:val="Emphasis"/>
              </w:rPr>
              <w:t xml:space="preserve">Buyology </w:t>
            </w:r>
            <w:r>
              <w:t>by Martin Lindstrom</w:t>
            </w:r>
          </w:p>
          <w:p w:rsidR="00EF70F0" w:rsidRPr="008B1B7C" w:rsidRDefault="00EF70F0" w:rsidP="00071762">
            <w:pPr>
              <w:pStyle w:val="CUPBodytext"/>
            </w:pPr>
            <w:r>
              <w:t xml:space="preserve">‘Life </w:t>
            </w:r>
            <w:r w:rsidR="00E769D1">
              <w:t xml:space="preserve">lessons </w:t>
            </w:r>
            <w:r>
              <w:t xml:space="preserve">from an </w:t>
            </w:r>
            <w:r w:rsidR="00E769D1">
              <w:t>ad man’</w:t>
            </w:r>
            <w:r>
              <w:t>, a TED Talk by Rory Sutherland</w:t>
            </w:r>
          </w:p>
        </w:tc>
      </w:tr>
    </w:tbl>
    <w:p w:rsidR="003344CC" w:rsidRPr="003344CC" w:rsidRDefault="003344CC" w:rsidP="003344CC">
      <w:pPr>
        <w:pStyle w:val="CUPBhead"/>
      </w:pPr>
      <w:r w:rsidRPr="003344CC">
        <w:lastRenderedPageBreak/>
        <w:t>Suggested lesson plan</w:t>
      </w:r>
    </w:p>
    <w:p w:rsidR="003344CC" w:rsidRPr="008B1B7C" w:rsidRDefault="003344CC" w:rsidP="003344CC">
      <w:pPr>
        <w:pStyle w:val="CUPBodytext"/>
        <w:rPr>
          <w:b/>
        </w:rPr>
      </w:pPr>
      <w:r>
        <w:t xml:space="preserve">It is possible to move through the activities in the units in Chapter 1 sequentially. Here we provide a suggestion for doing this, breaking the unit down into one-hour lessons. </w:t>
      </w:r>
      <w:r w:rsidR="009F03D4">
        <w:t>You</w:t>
      </w:r>
      <w:r>
        <w:t xml:space="preserve"> may also wish to select parts of the unit, and build these into later chapters that have a particular thematic focus. </w:t>
      </w:r>
    </w:p>
    <w:p w:rsidR="003344CC" w:rsidRPr="003344CC" w:rsidRDefault="003344CC" w:rsidP="003344CC">
      <w:pPr>
        <w:pStyle w:val="CUPChead"/>
      </w:pPr>
      <w:r w:rsidRPr="003344CC">
        <w:t>Lesson 1</w:t>
      </w:r>
    </w:p>
    <w:p w:rsidR="002F7F62" w:rsidRDefault="003344CC" w:rsidP="003344CC">
      <w:pPr>
        <w:pStyle w:val="CUPBodytext"/>
      </w:pPr>
      <w:r>
        <w:t>Activities 2.1–2.3</w:t>
      </w:r>
    </w:p>
    <w:p w:rsidR="003344CC" w:rsidRPr="0017078C" w:rsidRDefault="003344CC" w:rsidP="003344CC">
      <w:pPr>
        <w:pStyle w:val="CUPBodytext"/>
      </w:pPr>
      <w:r w:rsidRPr="003344CC">
        <w:rPr>
          <w:b/>
        </w:rPr>
        <w:t>Homework assignment:</w:t>
      </w:r>
      <w:r>
        <w:t xml:space="preserve"> Activity 2.4</w:t>
      </w:r>
    </w:p>
    <w:p w:rsidR="003344CC" w:rsidRPr="003344CC" w:rsidRDefault="003344CC" w:rsidP="003344CC">
      <w:pPr>
        <w:pStyle w:val="CUPChead"/>
      </w:pPr>
      <w:r w:rsidRPr="003344CC">
        <w:t>Lessons 2 and 3</w:t>
      </w:r>
    </w:p>
    <w:p w:rsidR="00556B0B" w:rsidRDefault="003344CC" w:rsidP="003344CC">
      <w:pPr>
        <w:pStyle w:val="CUPBodytext"/>
      </w:pPr>
      <w:r>
        <w:t>Activity 2.5</w:t>
      </w:r>
    </w:p>
    <w:sectPr w:rsidR="00556B0B" w:rsidSect="00F62970">
      <w:headerReference w:type="default" r:id="rId7"/>
      <w:footerReference w:type="default" r:id="rId8"/>
      <w:pgSz w:w="11906" w:h="16838" w:code="9"/>
      <w:pgMar w:top="1699" w:right="850" w:bottom="1699" w:left="850" w:header="0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B72" w:rsidRDefault="005D6B72" w:rsidP="000262E0">
      <w:pPr>
        <w:spacing w:after="0" w:line="240" w:lineRule="auto"/>
      </w:pPr>
      <w:r>
        <w:separator/>
      </w:r>
    </w:p>
  </w:endnote>
  <w:endnote w:type="continuationSeparator" w:id="0">
    <w:p w:rsidR="005D6B72" w:rsidRDefault="005D6B72" w:rsidP="00026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2E0" w:rsidRPr="000262E0" w:rsidRDefault="000262E0" w:rsidP="000262E0">
    <w:pPr>
      <w:pStyle w:val="Footer"/>
      <w:tabs>
        <w:tab w:val="clear" w:pos="4513"/>
        <w:tab w:val="clear" w:pos="9026"/>
        <w:tab w:val="center" w:pos="4320"/>
        <w:tab w:val="right" w:pos="8640"/>
      </w:tabs>
      <w:spacing w:before="240"/>
      <w:ind w:left="-284"/>
      <w:rPr>
        <w:rFonts w:ascii="Calibri" w:eastAsia="MS Mincho" w:hAnsi="Calibri" w:cs="Times New Roman"/>
        <w:sz w:val="20"/>
        <w:szCs w:val="20"/>
        <w:lang w:val="en-US"/>
      </w:rPr>
    </w:pPr>
    <w:r w:rsidRPr="000262E0">
      <w:rPr>
        <w:rFonts w:ascii="Calibri" w:eastAsia="MS Mincho" w:hAnsi="Calibri" w:cs="Times New Roman"/>
        <w:sz w:val="20"/>
        <w:szCs w:val="20"/>
        <w:lang w:val="en-US"/>
      </w:rPr>
      <w:t>©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B72" w:rsidRDefault="005D6B72" w:rsidP="000262E0">
      <w:pPr>
        <w:spacing w:after="0" w:line="240" w:lineRule="auto"/>
      </w:pPr>
      <w:r>
        <w:separator/>
      </w:r>
    </w:p>
  </w:footnote>
  <w:footnote w:type="continuationSeparator" w:id="0">
    <w:p w:rsidR="005D6B72" w:rsidRDefault="005D6B72" w:rsidP="00026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2E0" w:rsidRPr="00C422D4" w:rsidRDefault="00C422D4" w:rsidP="00C422D4">
    <w:pPr>
      <w:spacing w:after="0" w:line="240" w:lineRule="auto"/>
      <w:ind w:left="-851"/>
      <w:jc w:val="right"/>
      <w:rPr>
        <w:rFonts w:ascii="Cambria" w:eastAsia="MS Mincho" w:hAnsi="Cambria" w:cs="Times New Roman"/>
        <w:noProof/>
        <w:sz w:val="24"/>
        <w:szCs w:val="24"/>
        <w:lang w:val="en-IN" w:eastAsia="en-IN"/>
      </w:rPr>
    </w:pPr>
    <w:r w:rsidRPr="00C422D4">
      <w:rPr>
        <w:rFonts w:ascii="Cambria" w:eastAsia="MS Mincho" w:hAnsi="Cambria" w:cs="Times New Roman"/>
        <w:noProof/>
        <w:sz w:val="24"/>
        <w:szCs w:val="24"/>
        <w:lang w:val="en-IN" w:eastAsia="en-IN"/>
      </w:rPr>
      <w:drawing>
        <wp:inline distT="0" distB="0" distL="0" distR="0">
          <wp:extent cx="7562088" cy="734276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4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3280C"/>
    <w:multiLevelType w:val="hybridMultilevel"/>
    <w:tmpl w:val="12324B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7714D0"/>
    <w:multiLevelType w:val="hybridMultilevel"/>
    <w:tmpl w:val="58ECAF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B81FA6"/>
    <w:multiLevelType w:val="hybridMultilevel"/>
    <w:tmpl w:val="AE220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F78EC"/>
    <w:multiLevelType w:val="multilevel"/>
    <w:tmpl w:val="808AA5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AA6074A"/>
    <w:multiLevelType w:val="hybridMultilevel"/>
    <w:tmpl w:val="8AD6B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6" w15:restartNumberingAfterBreak="0">
    <w:nsid w:val="56181BBD"/>
    <w:multiLevelType w:val="hybridMultilevel"/>
    <w:tmpl w:val="AC444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F935F7"/>
    <w:multiLevelType w:val="hybridMultilevel"/>
    <w:tmpl w:val="F2B80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328B7"/>
    <w:multiLevelType w:val="hybridMultilevel"/>
    <w:tmpl w:val="9E603E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5D7F09"/>
    <w:multiLevelType w:val="hybridMultilevel"/>
    <w:tmpl w:val="BDECB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7"/>
  </w:num>
  <w:num w:numId="8">
    <w:abstractNumId w:val="3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720"/>
  <w:drawingGridVerticalSpacing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48F"/>
    <w:rsid w:val="000043ED"/>
    <w:rsid w:val="000262E0"/>
    <w:rsid w:val="000337D2"/>
    <w:rsid w:val="000402E6"/>
    <w:rsid w:val="0004577F"/>
    <w:rsid w:val="000674F2"/>
    <w:rsid w:val="00071762"/>
    <w:rsid w:val="000A3BD0"/>
    <w:rsid w:val="000D5D06"/>
    <w:rsid w:val="000E7EB2"/>
    <w:rsid w:val="0010444D"/>
    <w:rsid w:val="00114C10"/>
    <w:rsid w:val="0013118B"/>
    <w:rsid w:val="001354F6"/>
    <w:rsid w:val="0017078C"/>
    <w:rsid w:val="00197521"/>
    <w:rsid w:val="001B387B"/>
    <w:rsid w:val="001C1648"/>
    <w:rsid w:val="001E36F5"/>
    <w:rsid w:val="001F281F"/>
    <w:rsid w:val="001F7901"/>
    <w:rsid w:val="002D4A8C"/>
    <w:rsid w:val="002F7F62"/>
    <w:rsid w:val="003344CC"/>
    <w:rsid w:val="0034559B"/>
    <w:rsid w:val="00377D79"/>
    <w:rsid w:val="003E3D4C"/>
    <w:rsid w:val="003E3F05"/>
    <w:rsid w:val="00407ABB"/>
    <w:rsid w:val="004216F6"/>
    <w:rsid w:val="004417B4"/>
    <w:rsid w:val="004E5BAB"/>
    <w:rsid w:val="00505AB2"/>
    <w:rsid w:val="005122BD"/>
    <w:rsid w:val="00516F33"/>
    <w:rsid w:val="005427EE"/>
    <w:rsid w:val="0055251D"/>
    <w:rsid w:val="00556B0B"/>
    <w:rsid w:val="0057377B"/>
    <w:rsid w:val="005D6B72"/>
    <w:rsid w:val="00685AE3"/>
    <w:rsid w:val="006B726D"/>
    <w:rsid w:val="006D4977"/>
    <w:rsid w:val="00712B9F"/>
    <w:rsid w:val="00731385"/>
    <w:rsid w:val="007516F1"/>
    <w:rsid w:val="007B2064"/>
    <w:rsid w:val="007D389B"/>
    <w:rsid w:val="0081769F"/>
    <w:rsid w:val="00854D34"/>
    <w:rsid w:val="00887715"/>
    <w:rsid w:val="00954D76"/>
    <w:rsid w:val="009758CA"/>
    <w:rsid w:val="009C6476"/>
    <w:rsid w:val="009D0EA7"/>
    <w:rsid w:val="009D3868"/>
    <w:rsid w:val="009F03D4"/>
    <w:rsid w:val="00A0411B"/>
    <w:rsid w:val="00A5448F"/>
    <w:rsid w:val="00A6101F"/>
    <w:rsid w:val="00AA29A3"/>
    <w:rsid w:val="00AC0EF2"/>
    <w:rsid w:val="00AC2CE2"/>
    <w:rsid w:val="00AC67A9"/>
    <w:rsid w:val="00B04647"/>
    <w:rsid w:val="00B31EE3"/>
    <w:rsid w:val="00B32C66"/>
    <w:rsid w:val="00B33C52"/>
    <w:rsid w:val="00B52076"/>
    <w:rsid w:val="00B6262E"/>
    <w:rsid w:val="00BB375B"/>
    <w:rsid w:val="00BD56B5"/>
    <w:rsid w:val="00BF6ECB"/>
    <w:rsid w:val="00C31C45"/>
    <w:rsid w:val="00C422D4"/>
    <w:rsid w:val="00C70CE3"/>
    <w:rsid w:val="00C9024D"/>
    <w:rsid w:val="00CD122D"/>
    <w:rsid w:val="00D81EC4"/>
    <w:rsid w:val="00D8719D"/>
    <w:rsid w:val="00DE6C07"/>
    <w:rsid w:val="00DF5AB9"/>
    <w:rsid w:val="00E14086"/>
    <w:rsid w:val="00E373A6"/>
    <w:rsid w:val="00E769D1"/>
    <w:rsid w:val="00E77215"/>
    <w:rsid w:val="00E80F4B"/>
    <w:rsid w:val="00EA5408"/>
    <w:rsid w:val="00EA580F"/>
    <w:rsid w:val="00EF70F0"/>
    <w:rsid w:val="00F45BD2"/>
    <w:rsid w:val="00F62970"/>
    <w:rsid w:val="00F6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97717387-2C77-4780-9840-7CBA5B246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48F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5448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5448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5448F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4CC"/>
    <w:pPr>
      <w:spacing w:after="0" w:line="240" w:lineRule="auto"/>
    </w:pPr>
    <w:rPr>
      <w:rFonts w:ascii="Lucida Grande" w:eastAsia="MS Mincho" w:hAnsi="Lucida Grande" w:cs="Lucida Grande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4CC"/>
    <w:rPr>
      <w:rFonts w:ascii="Lucida Grande" w:eastAsia="MS Mincho" w:hAnsi="Lucida Grande" w:cs="Lucida Grande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262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62E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62E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62E0"/>
    <w:rPr>
      <w:sz w:val="22"/>
      <w:szCs w:val="22"/>
    </w:rPr>
  </w:style>
  <w:style w:type="character" w:customStyle="1" w:styleId="apple-converted-space">
    <w:name w:val="apple-converted-space"/>
    <w:basedOn w:val="DefaultParagraphFont"/>
    <w:rsid w:val="003344CC"/>
  </w:style>
  <w:style w:type="paragraph" w:customStyle="1" w:styleId="CUPAhead">
    <w:name w:val="CUP A head"/>
    <w:basedOn w:val="Normal"/>
    <w:qFormat/>
    <w:rsid w:val="003344CC"/>
    <w:pPr>
      <w:pBdr>
        <w:top w:val="single" w:sz="24" w:space="3" w:color="222464"/>
      </w:pBdr>
      <w:spacing w:after="240" w:line="240" w:lineRule="auto"/>
    </w:pPr>
    <w:rPr>
      <w:rFonts w:ascii="Calibri" w:eastAsia="MS Mincho" w:hAnsi="Calibri" w:cs="Times New Roman"/>
      <w:b/>
      <w:color w:val="222464"/>
      <w:sz w:val="52"/>
      <w:szCs w:val="52"/>
      <w:lang w:val="en-US"/>
    </w:rPr>
  </w:style>
  <w:style w:type="paragraph" w:customStyle="1" w:styleId="CUPBhead">
    <w:name w:val="CUP B head"/>
    <w:basedOn w:val="Normal"/>
    <w:qFormat/>
    <w:rsid w:val="003344CC"/>
    <w:pPr>
      <w:spacing w:before="360" w:after="120" w:line="240" w:lineRule="auto"/>
    </w:pPr>
    <w:rPr>
      <w:rFonts w:ascii="Calibri" w:eastAsia="MS Mincho" w:hAnsi="Calibri" w:cs="Times New Roman"/>
      <w:b/>
      <w:color w:val="222464"/>
      <w:sz w:val="40"/>
      <w:szCs w:val="30"/>
      <w:lang w:val="en-US"/>
    </w:rPr>
  </w:style>
  <w:style w:type="paragraph" w:customStyle="1" w:styleId="CUPBheadafterAhead">
    <w:name w:val="CUP B head after A head"/>
    <w:basedOn w:val="CUPBhead"/>
    <w:qFormat/>
    <w:rsid w:val="003344CC"/>
    <w:pPr>
      <w:spacing w:before="120"/>
    </w:pPr>
  </w:style>
  <w:style w:type="paragraph" w:customStyle="1" w:styleId="CUPBodytext">
    <w:name w:val="CUP Body text"/>
    <w:basedOn w:val="Normal"/>
    <w:qFormat/>
    <w:rsid w:val="003344CC"/>
    <w:pPr>
      <w:spacing w:after="120" w:line="240" w:lineRule="auto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Bullets">
    <w:name w:val="CUP Bullets"/>
    <w:qFormat/>
    <w:rsid w:val="003344CC"/>
    <w:pPr>
      <w:numPr>
        <w:numId w:val="10"/>
      </w:numPr>
      <w:spacing w:after="60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Chead">
    <w:name w:val="CUP C head"/>
    <w:basedOn w:val="Normal"/>
    <w:qFormat/>
    <w:rsid w:val="003344CC"/>
    <w:pPr>
      <w:spacing w:before="360" w:after="120" w:line="240" w:lineRule="auto"/>
    </w:pPr>
    <w:rPr>
      <w:rFonts w:ascii="Calibri" w:eastAsia="MS Mincho" w:hAnsi="Calibri" w:cs="Times New Roman"/>
      <w:color w:val="BD252B"/>
      <w:sz w:val="28"/>
      <w:lang w:val="en-US"/>
    </w:rPr>
  </w:style>
  <w:style w:type="paragraph" w:customStyle="1" w:styleId="CUPSectionhead">
    <w:name w:val="CUP Section head"/>
    <w:basedOn w:val="CUPAhead"/>
    <w:qFormat/>
    <w:rsid w:val="003344CC"/>
    <w:pPr>
      <w:pBdr>
        <w:top w:val="none" w:sz="0" w:space="0" w:color="auto"/>
      </w:pBdr>
      <w:spacing w:after="480"/>
    </w:pPr>
    <w:rPr>
      <w:color w:val="BD252B"/>
      <w:sz w:val="64"/>
      <w:szCs w:val="64"/>
    </w:rPr>
  </w:style>
  <w:style w:type="character" w:styleId="Emphasis">
    <w:name w:val="Emphasis"/>
    <w:basedOn w:val="DefaultParagraphFont"/>
    <w:uiPriority w:val="20"/>
    <w:qFormat/>
    <w:rsid w:val="003344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3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Aravindhakumar Gajendran</cp:lastModifiedBy>
  <cp:revision>49</cp:revision>
  <cp:lastPrinted>2019-02-21T12:05:00Z</cp:lastPrinted>
  <dcterms:created xsi:type="dcterms:W3CDTF">2018-09-12T10:17:00Z</dcterms:created>
  <dcterms:modified xsi:type="dcterms:W3CDTF">2019-07-08T07:33:00Z</dcterms:modified>
</cp:coreProperties>
</file>